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line="240" w:lineRule="auto"/>
        <w:jc w:val="center"/>
        <w:rPr>
          <w:sz w:val="24"/>
          <w:szCs w:val="24"/>
        </w:rPr>
      </w:pPr>
      <w:r>
        <w:rPr>
          <w:rFonts w:ascii="Arial" w:eastAsia="Arial" w:hAnsi="Arial" w:cs="Arial"/>
          <w:b/>
          <w:bCs/>
          <w:caps/>
          <w:sz w:val="24"/>
          <w:szCs w:val="24"/>
        </w:rPr>
        <w:t xml:space="preserve">DO YOU KNOW WHAT THE </w:t>
      </w:r>
      <w:r>
        <w:rPr>
          <w:rFonts w:ascii="Arial" w:eastAsia="Arial" w:hAnsi="Arial" w:cs="Arial"/>
          <w:b/>
          <w:bCs/>
          <w:sz w:val="24"/>
          <w:szCs w:val="24"/>
        </w:rPr>
        <w:t xml:space="preserve">NON-FERROUS LIGHT METALS LEADERSHIP TEAM (NFLM LT) HAS BEEN DOING IN 2024? </w:t>
      </w:r>
    </w:p>
    <w:p>
      <w:pPr>
        <w:spacing w:before="0" w:after="0" w:line="240" w:lineRule="auto"/>
        <w:rPr>
          <w:rFonts w:ascii="Arial" w:eastAsia="Arial" w:hAnsi="Arial" w:cs="Arial"/>
          <w:sz w:val="24"/>
          <w:szCs w:val="24"/>
        </w:rPr>
      </w:pPr>
    </w:p>
    <w:p>
      <w:pPr>
        <w:spacing w:before="0" w:after="160"/>
      </w:pPr>
      <w:r>
        <w:t>Hello to all those Members who have an interest in non-ferrous and/or light metals, this is Cheryll Pitt speaking, your Chair of the NFLM LT,</w:t>
      </w:r>
    </w:p>
    <w:p>
      <w:pPr>
        <w:spacing w:before="0" w:after="160"/>
      </w:pPr>
      <w:r>
        <w:t>What has your Leadership Team been engaged upon in 2024? Read on to find out and remember to let us know if you want to be involved in our planned exciting activities for next year.</w:t>
      </w:r>
    </w:p>
    <w:p>
      <w:pPr>
        <w:spacing w:before="0" w:after="160"/>
      </w:pPr>
      <w:r>
        <w:t xml:space="preserve">In both 2023 and 2024 our focus has been on the </w:t>
      </w:r>
      <w:r>
        <w:rPr>
          <w:b/>
          <w:bCs/>
        </w:rPr>
        <w:t>production of the NFLM roadmap</w:t>
      </w:r>
      <w:r>
        <w:t xml:space="preserve"> which is aiming to map a cleaner future for NFLM, enabling a circular, low carbon economy for these metals and alloys.</w:t>
      </w:r>
    </w:p>
    <w:p>
      <w:pPr>
        <w:spacing w:before="0" w:after="160"/>
      </w:pPr>
      <w:r>
        <w:t xml:space="preserve">The roadmap covers the immediate, medium- and long-term requirements to fulfil this aim. It was compiled at first in 2023 at a </w:t>
      </w:r>
      <w:r>
        <w:rPr>
          <w:b/>
          <w:bCs/>
        </w:rPr>
        <w:t>taster webinar</w:t>
      </w:r>
      <w:r>
        <w:t xml:space="preserve"> featuring 3 speakers talking about the circular economy related to NFLM. This was followed by a sponsored </w:t>
      </w:r>
      <w:r>
        <w:rPr>
          <w:b/>
          <w:bCs/>
        </w:rPr>
        <w:t>Live Event</w:t>
      </w:r>
      <w:r>
        <w:t xml:space="preserve"> at Coventry University with an array of speakers talking about their organisation’s roadmaps and allied topics in the morning and a workshop in the afternoon. The latter consisted of six small groups recording their discussion surrounding two of </w:t>
      </w:r>
      <w:r>
        <w:rPr>
          <w:b/>
          <w:bCs/>
        </w:rPr>
        <w:t>six challenges</w:t>
      </w:r>
      <w:r>
        <w:t>, ranging from policy and regulation to enabling technology. The NFLM Working Group (WG) then took the output of the workshop and transferred it into 5 detailed roadmaps and a top-level roadmap.</w:t>
      </w:r>
    </w:p>
    <w:p>
      <w:pPr>
        <w:spacing w:before="0" w:after="160"/>
      </w:pPr>
      <w:r>
        <w:t xml:space="preserve"> </w:t>
      </w:r>
      <w:r>
        <w:t xml:space="preserve">In 2024 the top-level roadmap and a résumé of its compilation was promulgated in the </w:t>
      </w:r>
      <w:r>
        <w:rPr>
          <w:b/>
          <w:bCs/>
        </w:rPr>
        <w:t>April edition of the “Materials World”</w:t>
      </w:r>
      <w:r>
        <w:t xml:space="preserve"> within an article entitled: “Lighting the Way”. Then at an IOM3 </w:t>
      </w:r>
      <w:r>
        <w:rPr>
          <w:b/>
          <w:bCs/>
        </w:rPr>
        <w:t>panel session within the conference held in the NEC Birmingham</w:t>
      </w:r>
      <w:r>
        <w:t>: UK Metals Expo, where 3 members of the NFLM LT featured.</w:t>
      </w:r>
    </w:p>
    <w:p>
      <w:pPr>
        <w:spacing w:before="0" w:after="160"/>
      </w:pPr>
      <w:r>
        <w:rPr>
          <w:b/>
          <w:bCs/>
        </w:rPr>
        <w:t>For 2025:</w:t>
      </w:r>
      <w:r>
        <w:t xml:space="preserve"> Planning sessions have now been held by a second NFLM LT WG to build on the work detailed above. This will feature the </w:t>
      </w:r>
      <w:r>
        <w:rPr>
          <w:b/>
          <w:bCs/>
        </w:rPr>
        <w:t>circular production and manufacturing of Titanium.</w:t>
      </w:r>
      <w:r>
        <w:t xml:space="preserve"> Work on a series of three webinars and a “Materials World” article is underway. Discussions have also been held with the Mining Technology LT and their Strategic Adviser and they are taking part in the first webinar.</w:t>
      </w:r>
    </w:p>
    <w:p>
      <w:pPr>
        <w:spacing w:before="0" w:after="160"/>
      </w:pPr>
      <w:r>
        <w:rPr>
          <w:b/>
          <w:bCs/>
        </w:rPr>
        <w:t>STEM EVENTS:</w:t>
      </w:r>
    </w:p>
    <w:p>
      <w:pPr>
        <w:spacing w:before="0" w:after="160"/>
      </w:pPr>
      <w:r>
        <w:t xml:space="preserve">The </w:t>
      </w:r>
      <w:r>
        <w:rPr>
          <w:b/>
          <w:bCs/>
        </w:rPr>
        <w:t>NFLM LT/Student and Early Careers Committee (SECC)</w:t>
      </w:r>
      <w:r>
        <w:t xml:space="preserve"> held a joint STEM event at Luxfer MEL Technologies. This was a “Materials Matter” event and the IOM3 Diane Aston (</w:t>
      </w:r>
      <w:r>
        <w:rPr>
          <w:shd w:val="clear" w:color="auto" w:fill="FFFFFF"/>
        </w:rPr>
        <w:t>Head of Education and Professional Development) assisted with its production. T</w:t>
      </w:r>
      <w:r>
        <w:t>he programme consisted of a whole day of activities run by apprentices to enthuse young people with a career in NFLM:</w:t>
      </w:r>
    </w:p>
    <w:p>
      <w:pPr>
        <w:numPr>
          <w:ilvl w:val="0"/>
          <w:numId w:val="1"/>
        </w:numPr>
        <w:pBdr>
          <w:left w:val="none" w:sz="0" w:space="3" w:color="auto"/>
        </w:pBdr>
        <w:spacing w:before="0"/>
        <w:ind w:left="720" w:right="0" w:hanging="342"/>
        <w:jc w:val="left"/>
      </w:pPr>
      <w:r>
        <w:t>One of the NFLM LT gave a key-note presentation on light metals.</w:t>
      </w:r>
    </w:p>
    <w:p>
      <w:pPr>
        <w:numPr>
          <w:ilvl w:val="0"/>
          <w:numId w:val="1"/>
        </w:numPr>
        <w:pBdr>
          <w:left w:val="none" w:sz="0" w:space="3" w:color="auto"/>
        </w:pBdr>
        <w:ind w:left="720" w:right="0" w:hanging="342"/>
        <w:jc w:val="left"/>
      </w:pPr>
      <w:r>
        <w:t>A practical activity then took place.</w:t>
      </w:r>
    </w:p>
    <w:p>
      <w:pPr>
        <w:numPr>
          <w:ilvl w:val="0"/>
          <w:numId w:val="1"/>
        </w:numPr>
        <w:pBdr>
          <w:left w:val="none" w:sz="0" w:space="3" w:color="auto"/>
        </w:pBdr>
        <w:ind w:left="720" w:right="0" w:hanging="342"/>
        <w:jc w:val="left"/>
      </w:pPr>
      <w:r>
        <w:t xml:space="preserve">Questions and answers followed focussed on the different routes the apprentices had taken into the business, </w:t>
      </w:r>
    </w:p>
    <w:p>
      <w:pPr>
        <w:numPr>
          <w:ilvl w:val="0"/>
          <w:numId w:val="1"/>
        </w:numPr>
        <w:pBdr>
          <w:left w:val="none" w:sz="0" w:space="3" w:color="auto"/>
        </w:pBdr>
        <w:ind w:left="720" w:right="0" w:hanging="342"/>
        <w:jc w:val="left"/>
      </w:pPr>
      <w:r>
        <w:t>and a tour of Luxfer MEL Technologies.</w:t>
      </w:r>
    </w:p>
    <w:p>
      <w:pPr>
        <w:numPr>
          <w:ilvl w:val="0"/>
          <w:numId w:val="1"/>
        </w:numPr>
        <w:pBdr>
          <w:left w:val="none" w:sz="0" w:space="3" w:color="auto"/>
        </w:pBdr>
        <w:spacing w:after="0"/>
        <w:ind w:left="720" w:right="0" w:hanging="342"/>
        <w:jc w:val="left"/>
      </w:pPr>
      <w:r>
        <w:t>A feedback session ended a very successful day.</w:t>
      </w:r>
    </w:p>
    <w:p>
      <w:pPr>
        <w:spacing w:before="0" w:after="160"/>
        <w:ind w:left="720"/>
        <w:rPr>
          <w:rFonts w:ascii="Aptos" w:eastAsia="Aptos" w:hAnsi="Aptos" w:cs="Aptos"/>
          <w:sz w:val="22"/>
          <w:szCs w:val="22"/>
        </w:rPr>
      </w:pPr>
    </w:p>
    <w:p>
      <w:pPr>
        <w:spacing w:before="0" w:after="160"/>
      </w:pPr>
      <w:r>
        <w:rPr>
          <w:shd w:val="clear" w:color="auto" w:fill="FFFFFF"/>
        </w:rPr>
        <w:t>Comments from attendees: “Both staff and students gained a lot out of the day and the careers insights were really interesting, so much so that we have some students considering apprenticeships in the future.”</w:t>
      </w:r>
      <w:r>
        <w:rPr>
          <w:shd w:val="clear" w:color="auto" w:fill="FFFFFF"/>
        </w:rPr>
        <w:t> </w:t>
      </w:r>
    </w:p>
    <w:p>
      <w:pPr>
        <w:spacing w:before="0" w:after="160"/>
      </w:pPr>
      <w:r>
        <w:t xml:space="preserve">The Chair of the NFLM Leadership Team has also promoted a career in Materials Science. This was within a </w:t>
      </w:r>
      <w:r>
        <w:rPr>
          <w:b/>
          <w:bCs/>
        </w:rPr>
        <w:t>STEM careers event</w:t>
      </w:r>
      <w:r>
        <w:t xml:space="preserve"> organised by the Southeast England STEM hub in her role as a STEM Ambassador,</w:t>
      </w:r>
    </w:p>
    <w:p>
      <w:pPr>
        <w:spacing w:before="0" w:after="160"/>
      </w:pPr>
      <w:r>
        <w:rPr>
          <w:b/>
          <w:bCs/>
        </w:rPr>
        <w:t>PROFESSIONAL REGISTRATION</w:t>
      </w:r>
    </w:p>
    <w:p>
      <w:pPr>
        <w:spacing w:before="0" w:after="160"/>
      </w:pPr>
      <w:r>
        <w:t>The NFLM LT has been busy in this sphere too:</w:t>
      </w:r>
    </w:p>
    <w:p>
      <w:pPr>
        <w:spacing w:before="0" w:after="160"/>
      </w:pPr>
      <w:r>
        <w:t xml:space="preserve">The Chair has also conducted </w:t>
      </w:r>
      <w:r>
        <w:rPr>
          <w:b/>
          <w:bCs/>
        </w:rPr>
        <w:t>scrutineering and professional</w:t>
      </w:r>
      <w:r>
        <w:t xml:space="preserve"> review interviewing for those people aspiring to Chartered Engineer status as members of the IOM3. The Chair is also </w:t>
      </w:r>
      <w:r>
        <w:rPr>
          <w:b/>
          <w:bCs/>
        </w:rPr>
        <w:t>Liaison Officer</w:t>
      </w:r>
      <w:r>
        <w:t xml:space="preserve"> between the Engineering council and the IOM3.</w:t>
      </w:r>
    </w:p>
    <w:p>
      <w:pPr>
        <w:spacing w:before="0" w:after="160"/>
      </w:pPr>
      <w:r>
        <w:rPr>
          <w:b/>
          <w:bCs/>
        </w:rPr>
        <w:t>JUDGING</w:t>
      </w:r>
    </w:p>
    <w:p>
      <w:pPr>
        <w:spacing w:before="0" w:after="160"/>
      </w:pPr>
      <w:r>
        <w:t>The NFLM Leadership Team judged the Harvey Flower Award and awarded it to what was felt to be the person who excelled according to the judging criteria.</w:t>
      </w:r>
    </w:p>
    <w:p>
      <w:pPr>
        <w:spacing w:before="0" w:after="160"/>
      </w:pPr>
      <w:r>
        <w:rPr>
          <w:b/>
          <w:bCs/>
        </w:rPr>
        <w:t>YES, MORE TO COME! INFLUENCE ON POLICY</w:t>
      </w:r>
    </w:p>
    <w:p>
      <w:pPr>
        <w:spacing w:before="0" w:after="160"/>
      </w:pPr>
      <w:r>
        <w:t>The NFLM LT compiled a policy paper on map a cleaner future for NFLM, in order to enable a circular, low carbon economy for these materials. It covered the immediate and medium- and long-term requirements to fulfil this aim and is with the IOM3 Head of Policy for review and promulgation.</w:t>
      </w:r>
    </w:p>
    <w:p>
      <w:pPr>
        <w:tabs>
          <w:tab w:val="left" w:pos="3990"/>
        </w:tabs>
        <w:spacing w:before="0" w:after="160"/>
        <w:rPr>
          <w:rFonts w:ascii="Aptos" w:eastAsia="Aptos" w:hAnsi="Aptos" w:cs="Aptos"/>
          <w:b/>
          <w:bCs/>
          <w:sz w:val="22"/>
          <w:szCs w:val="22"/>
        </w:rPr>
      </w:pPr>
      <w:r>
        <w:rPr>
          <w:b/>
          <w:bCs/>
        </w:rPr>
        <w:t>AN ACTION-PACKED YEAR ENDS!</w:t>
      </w:r>
      <w:r>
        <w:rPr>
          <w:rFonts w:ascii="Aptos" w:eastAsia="Aptos" w:hAnsi="Aptos" w:cs="Aptos"/>
          <w:b/>
          <w:bCs/>
          <w:sz w:val="22"/>
          <w:szCs w:val="22"/>
        </w:rPr>
        <w:tab/>
      </w:r>
    </w:p>
    <w:p>
      <w:pPr>
        <w:spacing w:before="0" w:after="160"/>
      </w:pPr>
      <w:r>
        <w:t xml:space="preserve"> </w:t>
      </w:r>
    </w:p>
    <w:sectPr>
      <w:footerReference w:type="default" r:id="rId4"/>
      <w:type w:val="nextPage"/>
      <w:pgSz w:w="11906" w:h="16838"/>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650023"/>
      <w:placeholder>
        <w:docPart w:val="DefaultPlaceholder_22675703"/>
      </w:placeholder>
      <w:richText/>
    </w:sdtPr>
    <w:sdtContent>
      <w:p>
        <w:pPr>
          <w:spacing w:before="0" w:after="0" w:line="240" w:lineRule="auto"/>
          <w:jc w:val="center"/>
        </w:pPr>
        <w:r>
          <w:fldChar w:fldCharType="begin"/>
        </w:r>
        <w:r>
          <w:instrText xml:space="preserve"> PAGE   \* MERGEFORMAT </w:instrText>
        </w:r>
        <w:r>
          <w:fldChar w:fldCharType="separate"/>
        </w:r>
        <w:r>
          <w:t>2</w:t>
        </w:r>
        <w:r>
          <w:fldChar w:fldCharType="end"/>
        </w:r>
      </w:p>
    </w:sdtContent>
  </w:sdt>
  <w:p>
    <w:pPr>
      <w:spacing w:before="0" w:after="0" w:line="240" w:lineRule="auto"/>
      <w:rPr>
        <w:rFonts w:ascii="Aptos" w:eastAsia="Aptos" w:hAnsi="Aptos" w:cs="Aptos"/>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FB84B7D5-7BCC-42B7-8266-7D3696394CCB}"/>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